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05/2018</w:t>
      </w: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148.759,00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cento e quarenta e oito mil e setecentos e cinquenta e nove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as seguintes dotações do orçamento v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gente: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 – DIVISÃO MUNICIPAL DE ASSISTÊNCIA SOCIAL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020701 – FUNDO MUNICIPAL DE ASSISTÊNCIA SOCIAL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08.244.0022.2033.0000 – Atividades da Divisão Municipal de Assistência Social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178 – 33903000 – Material de Consumo.................................................R$  30.000,00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179 – 33903000 – Material de Consumo.................................................R$  12.722,74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182 – 33903900 – Outros Serviços de Terceiros Pessoa Jurídica..........R$  30.000,00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183 – 33903900 – Outros Serviços de Terceiros Pessoa Jurídica..........R$  10.000,00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08.244.0022.2035.0000 – Atividades dos Diversos Programas da Assistência Social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191 – 33903900 – Outros Serviços de Terceiros Pessoa Jurídica..........R$  10.000,00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192 – 33903900 – Outros Serviços de Terceiros Pessoa Jurídica..........R$  10.000,00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194 – 44905200 – Equipamentos e Material Permanente.......................R$  21.915,63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195 – 44905200 – Equipamentos e Material Permanente.......................R$  24.120,63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da União – Fundo Nacional de Assistência Social.</w:t>
      </w:r>
    </w:p>
    <w:p w:rsidR="005A3A7F" w:rsidRDefault="005A3A7F" w:rsidP="005A3A7F">
      <w:pPr>
        <w:jc w:val="both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5" name="Imagem 5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 de Lei</w:t>
      </w:r>
      <w:r>
        <w:rPr>
          <w:rFonts w:ascii="Arial" w:hAnsi="Arial" w:cs="Arial"/>
          <w:sz w:val="24"/>
        </w:rPr>
        <w:t xml:space="preserve"> do Fundo Municipal de Assistência Social, que abre crédito adicional suplementar, está se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do coberto por superávit financeiro do exercício anterior, ou seja, saldos que ficaram nas contas vinculadas à Assistência Social em 31/12/2017, e nesse caso é recurso Federal do IGD-SUAS, SERVIÇO DE CONVIVÊNCIA E FORTALECIMENTO DE VINCULOS E IGD BOLSA FAMÍLIA.</w:t>
      </w:r>
    </w:p>
    <w:p w:rsidR="005A3A7F" w:rsidRPr="008017BE" w:rsidRDefault="005A3A7F" w:rsidP="005A3A7F">
      <w:pPr>
        <w:jc w:val="both"/>
        <w:rPr>
          <w:rFonts w:ascii="Arial" w:hAnsi="Arial" w:cs="Arial"/>
          <w:sz w:val="24"/>
          <w:u w:val="single"/>
        </w:rPr>
      </w:pPr>
    </w:p>
    <w:p w:rsidR="005A3A7F" w:rsidRPr="008017BE" w:rsidRDefault="005A3A7F" w:rsidP="005A3A7F">
      <w:pPr>
        <w:jc w:val="both"/>
        <w:rPr>
          <w:rFonts w:ascii="Arial" w:hAnsi="Arial" w:cs="Arial"/>
          <w:sz w:val="24"/>
        </w:rPr>
      </w:pPr>
    </w:p>
    <w:p w:rsidR="005A3A7F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Default="005A3A7F" w:rsidP="005A3A7F">
      <w:pPr>
        <w:jc w:val="center"/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 de 2018</w:t>
      </w: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rPr>
          <w:rFonts w:ascii="Arial" w:hAnsi="Arial" w:cs="Arial"/>
          <w:sz w:val="24"/>
        </w:rPr>
      </w:pP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A3A7F" w:rsidRPr="008017BE" w:rsidRDefault="005A3A7F" w:rsidP="005A3A7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EE1A12" w:rsidRDefault="00EE1A12" w:rsidP="00EE1A12">
      <w:pPr>
        <w:jc w:val="right"/>
        <w:rPr>
          <w:rFonts w:ascii="Courier New" w:hAnsi="Courier New" w:cs="Courier New"/>
        </w:rPr>
      </w:pPr>
    </w:p>
    <w:sectPr w:rsidR="00EE1A12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B7" w:rsidRDefault="00EA32B7" w:rsidP="008C51DC">
      <w:r>
        <w:separator/>
      </w:r>
    </w:p>
  </w:endnote>
  <w:endnote w:type="continuationSeparator" w:id="1">
    <w:p w:rsidR="00EA32B7" w:rsidRDefault="00EA32B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B7" w:rsidRDefault="00EA32B7" w:rsidP="008C51DC">
      <w:r>
        <w:separator/>
      </w:r>
    </w:p>
  </w:footnote>
  <w:footnote w:type="continuationSeparator" w:id="1">
    <w:p w:rsidR="00EA32B7" w:rsidRDefault="00EA32B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50E0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50E0C"/>
    <w:rsid w:val="005A3A7F"/>
    <w:rsid w:val="005F6D58"/>
    <w:rsid w:val="005F73FB"/>
    <w:rsid w:val="006945D5"/>
    <w:rsid w:val="00755D41"/>
    <w:rsid w:val="007629F8"/>
    <w:rsid w:val="007D5C82"/>
    <w:rsid w:val="008C33FC"/>
    <w:rsid w:val="008C51DC"/>
    <w:rsid w:val="009A70E4"/>
    <w:rsid w:val="00A25824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A32B7"/>
    <w:rsid w:val="00EB2787"/>
    <w:rsid w:val="00ED2EC4"/>
    <w:rsid w:val="00EE1A12"/>
    <w:rsid w:val="00F0057D"/>
    <w:rsid w:val="00F0331C"/>
    <w:rsid w:val="00F36174"/>
    <w:rsid w:val="00F822A3"/>
    <w:rsid w:val="00FB4594"/>
    <w:rsid w:val="00FB4D77"/>
    <w:rsid w:val="00FC2FED"/>
    <w:rsid w:val="00FD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2018-03-06T18:57:00Z</dcterms:created>
  <dcterms:modified xsi:type="dcterms:W3CDTF">2018-03-06T18:57:00Z</dcterms:modified>
</cp:coreProperties>
</file>