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00B" w:rsidRDefault="0068000B" w:rsidP="0068000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</w:t>
      </w:r>
    </w:p>
    <w:p w:rsidR="001848EC" w:rsidRPr="008017BE" w:rsidRDefault="0068000B" w:rsidP="001848E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</w:t>
      </w:r>
      <w:r w:rsidR="001848EC" w:rsidRPr="008017BE">
        <w:rPr>
          <w:rFonts w:ascii="Arial" w:hAnsi="Arial" w:cs="Arial"/>
          <w:sz w:val="24"/>
        </w:rPr>
        <w:t>Pr</w:t>
      </w:r>
      <w:r w:rsidR="001848EC">
        <w:rPr>
          <w:rFonts w:ascii="Arial" w:hAnsi="Arial" w:cs="Arial"/>
          <w:sz w:val="24"/>
        </w:rPr>
        <w:t>ojeto de Lei nº 7</w:t>
      </w:r>
      <w:r w:rsidR="00183DC1">
        <w:rPr>
          <w:rFonts w:ascii="Arial" w:hAnsi="Arial" w:cs="Arial"/>
          <w:sz w:val="24"/>
        </w:rPr>
        <w:t>5</w:t>
      </w:r>
      <w:bookmarkStart w:id="0" w:name="_GoBack"/>
      <w:bookmarkEnd w:id="0"/>
      <w:r w:rsidR="001848EC">
        <w:rPr>
          <w:rFonts w:ascii="Arial" w:hAnsi="Arial" w:cs="Arial"/>
          <w:sz w:val="24"/>
        </w:rPr>
        <w:t xml:space="preserve"> /2022</w:t>
      </w:r>
    </w:p>
    <w:p w:rsidR="001848EC" w:rsidRDefault="001848EC" w:rsidP="001848EC">
      <w:pPr>
        <w:rPr>
          <w:rFonts w:ascii="Arial" w:hAnsi="Arial" w:cs="Arial"/>
          <w:sz w:val="24"/>
        </w:rPr>
      </w:pPr>
    </w:p>
    <w:p w:rsidR="001848EC" w:rsidRDefault="001848EC" w:rsidP="001848EC">
      <w:pPr>
        <w:rPr>
          <w:rFonts w:ascii="Arial" w:hAnsi="Arial" w:cs="Arial"/>
          <w:sz w:val="24"/>
        </w:rPr>
      </w:pPr>
    </w:p>
    <w:p w:rsidR="001848EC" w:rsidRPr="008017BE" w:rsidRDefault="001848EC" w:rsidP="001848EC">
      <w:pPr>
        <w:rPr>
          <w:rFonts w:ascii="Arial" w:hAnsi="Arial" w:cs="Arial"/>
          <w:sz w:val="24"/>
        </w:rPr>
      </w:pPr>
    </w:p>
    <w:p w:rsidR="001848EC" w:rsidRPr="008017BE" w:rsidRDefault="001848EC" w:rsidP="001848EC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1848EC" w:rsidRDefault="001848EC" w:rsidP="001848EC">
      <w:pPr>
        <w:jc w:val="both"/>
        <w:rPr>
          <w:rFonts w:ascii="Arial" w:hAnsi="Arial" w:cs="Arial"/>
          <w:sz w:val="24"/>
        </w:rPr>
      </w:pPr>
    </w:p>
    <w:p w:rsidR="001848EC" w:rsidRDefault="001848EC" w:rsidP="001848EC">
      <w:pPr>
        <w:jc w:val="both"/>
        <w:rPr>
          <w:rFonts w:ascii="Arial" w:hAnsi="Arial" w:cs="Arial"/>
          <w:sz w:val="24"/>
        </w:rPr>
      </w:pPr>
    </w:p>
    <w:p w:rsidR="001848EC" w:rsidRPr="008017BE" w:rsidRDefault="001848EC" w:rsidP="001848EC">
      <w:pPr>
        <w:jc w:val="both"/>
        <w:rPr>
          <w:rFonts w:ascii="Arial" w:hAnsi="Arial" w:cs="Arial"/>
          <w:sz w:val="24"/>
        </w:rPr>
      </w:pPr>
    </w:p>
    <w:p w:rsidR="001848EC" w:rsidRPr="008017BE" w:rsidRDefault="001848EC" w:rsidP="001848E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1848EC" w:rsidRPr="008017BE" w:rsidRDefault="001848EC" w:rsidP="001848EC">
      <w:pPr>
        <w:rPr>
          <w:rFonts w:ascii="Arial" w:hAnsi="Arial" w:cs="Arial"/>
          <w:sz w:val="24"/>
        </w:rPr>
      </w:pPr>
    </w:p>
    <w:p w:rsidR="001848EC" w:rsidRDefault="001848EC" w:rsidP="001848E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1848EC" w:rsidRPr="008017BE" w:rsidRDefault="001848EC" w:rsidP="001848E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1848EC" w:rsidRPr="008017BE" w:rsidRDefault="001848EC" w:rsidP="001848EC">
      <w:pPr>
        <w:rPr>
          <w:rFonts w:ascii="Arial" w:hAnsi="Arial" w:cs="Arial"/>
          <w:sz w:val="24"/>
        </w:rPr>
      </w:pPr>
    </w:p>
    <w:p w:rsidR="001848EC" w:rsidRPr="008017BE" w:rsidRDefault="001848EC" w:rsidP="001848EC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1848EC" w:rsidRDefault="001848EC" w:rsidP="001848E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46.000,00 (quarenta e seis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despesas com Sentenças Judiciais do Fundo Municipal de Saúde – MAC – Média e Alta Complexidade Ambulatorial e hospitalar:</w:t>
      </w:r>
    </w:p>
    <w:p w:rsidR="001848EC" w:rsidRDefault="001848EC" w:rsidP="001848EC">
      <w:pPr>
        <w:jc w:val="both"/>
        <w:rPr>
          <w:rFonts w:ascii="Arial" w:hAnsi="Arial" w:cs="Arial"/>
          <w:sz w:val="24"/>
        </w:rPr>
      </w:pPr>
    </w:p>
    <w:p w:rsidR="001848EC" w:rsidRDefault="001848EC" w:rsidP="001848EC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pela anulação parcial da seguinte dotação do orçamento vigente:</w:t>
      </w:r>
    </w:p>
    <w:p w:rsidR="001848EC" w:rsidRDefault="001848EC" w:rsidP="001848EC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1848EC" w:rsidRDefault="001848EC" w:rsidP="001848EC">
      <w:pPr>
        <w:ind w:firstLine="708"/>
        <w:jc w:val="both"/>
        <w:rPr>
          <w:rFonts w:ascii="Arial" w:hAnsi="Arial" w:cs="Arial"/>
          <w:b/>
          <w:sz w:val="24"/>
        </w:rPr>
      </w:pPr>
      <w:r w:rsidRPr="00522499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01 – PODER EXECUTIVO</w:t>
      </w:r>
    </w:p>
    <w:p w:rsidR="001848EC" w:rsidRDefault="001848EC" w:rsidP="001848EC">
      <w:pPr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020101 – ADMINSITRAÇÃO SUPERIOR</w:t>
      </w:r>
    </w:p>
    <w:p w:rsidR="001848EC" w:rsidRDefault="001848EC" w:rsidP="001848EC">
      <w:pPr>
        <w:ind w:firstLine="708"/>
        <w:jc w:val="both"/>
        <w:rPr>
          <w:rFonts w:ascii="Arial" w:hAnsi="Arial" w:cs="Arial"/>
          <w:sz w:val="24"/>
        </w:rPr>
      </w:pPr>
      <w:r w:rsidRPr="00522499">
        <w:rPr>
          <w:rFonts w:ascii="Arial" w:hAnsi="Arial" w:cs="Arial"/>
          <w:sz w:val="24"/>
        </w:rPr>
        <w:t>04.122.0002.1003.0000 – Construção da Nova Sede do Paço Municipal</w:t>
      </w:r>
    </w:p>
    <w:p w:rsidR="001848EC" w:rsidRPr="00522499" w:rsidRDefault="001848EC" w:rsidP="001848EC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011 – 449051.00 – Obras e Instalações.................................................R$ 46.000,00</w:t>
      </w:r>
    </w:p>
    <w:p w:rsidR="001848EC" w:rsidRPr="000B5B17" w:rsidRDefault="001848EC" w:rsidP="001848EC">
      <w:pPr>
        <w:ind w:firstLine="708"/>
        <w:jc w:val="both"/>
        <w:rPr>
          <w:rFonts w:ascii="Arial" w:hAnsi="Arial" w:cs="Arial"/>
          <w:sz w:val="24"/>
        </w:rPr>
      </w:pPr>
    </w:p>
    <w:p w:rsidR="001848EC" w:rsidRPr="008017BE" w:rsidRDefault="001848EC" w:rsidP="001848E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1848EC" w:rsidRPr="008017BE" w:rsidRDefault="001848EC" w:rsidP="001848EC">
      <w:pPr>
        <w:rPr>
          <w:rFonts w:ascii="Arial" w:hAnsi="Arial" w:cs="Arial"/>
          <w:sz w:val="24"/>
        </w:rPr>
      </w:pPr>
    </w:p>
    <w:p w:rsidR="001848EC" w:rsidRDefault="001848EC" w:rsidP="001848EC">
      <w:pPr>
        <w:jc w:val="center"/>
        <w:rPr>
          <w:rFonts w:ascii="Arial" w:hAnsi="Arial" w:cs="Arial"/>
          <w:sz w:val="24"/>
        </w:rPr>
      </w:pPr>
    </w:p>
    <w:p w:rsidR="001848EC" w:rsidRDefault="001848EC" w:rsidP="001848E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15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setembro de 2022</w:t>
      </w:r>
    </w:p>
    <w:p w:rsidR="001848EC" w:rsidRDefault="001848EC" w:rsidP="001848EC">
      <w:pPr>
        <w:jc w:val="center"/>
        <w:rPr>
          <w:rFonts w:ascii="Arial" w:hAnsi="Arial" w:cs="Arial"/>
          <w:sz w:val="24"/>
        </w:rPr>
      </w:pPr>
    </w:p>
    <w:p w:rsidR="001848EC" w:rsidRDefault="001848EC" w:rsidP="001848EC">
      <w:pPr>
        <w:jc w:val="center"/>
        <w:rPr>
          <w:rFonts w:ascii="Arial" w:hAnsi="Arial" w:cs="Arial"/>
          <w:sz w:val="24"/>
        </w:rPr>
      </w:pPr>
    </w:p>
    <w:p w:rsidR="001848EC" w:rsidRPr="008017BE" w:rsidRDefault="001848EC" w:rsidP="001848E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1848EC" w:rsidRPr="008017BE" w:rsidRDefault="001848EC" w:rsidP="001848E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1848EC" w:rsidRDefault="001848EC" w:rsidP="001848EC">
      <w:pPr>
        <w:rPr>
          <w:rFonts w:ascii="Arial" w:hAnsi="Arial" w:cs="Arial"/>
          <w:sz w:val="24"/>
        </w:rPr>
      </w:pPr>
    </w:p>
    <w:p w:rsidR="001848EC" w:rsidRDefault="001848EC" w:rsidP="001848EC">
      <w:pPr>
        <w:rPr>
          <w:rFonts w:ascii="Arial" w:hAnsi="Arial" w:cs="Arial"/>
          <w:sz w:val="24"/>
        </w:rPr>
      </w:pPr>
    </w:p>
    <w:p w:rsidR="001848EC" w:rsidRDefault="001848EC" w:rsidP="001848EC">
      <w:pPr>
        <w:rPr>
          <w:rFonts w:ascii="Arial" w:hAnsi="Arial" w:cs="Arial"/>
          <w:sz w:val="24"/>
        </w:rPr>
      </w:pPr>
    </w:p>
    <w:p w:rsidR="001848EC" w:rsidRDefault="001848EC" w:rsidP="001848EC">
      <w:pPr>
        <w:rPr>
          <w:rFonts w:ascii="Arial" w:hAnsi="Arial" w:cs="Arial"/>
          <w:sz w:val="24"/>
        </w:rPr>
      </w:pPr>
    </w:p>
    <w:p w:rsidR="001848EC" w:rsidRDefault="001848EC" w:rsidP="001848EC">
      <w:pPr>
        <w:rPr>
          <w:rFonts w:ascii="Arial" w:hAnsi="Arial" w:cs="Arial"/>
          <w:sz w:val="24"/>
        </w:rPr>
      </w:pPr>
    </w:p>
    <w:p w:rsidR="001848EC" w:rsidRDefault="001848EC" w:rsidP="001848EC">
      <w:pPr>
        <w:rPr>
          <w:rFonts w:ascii="Arial" w:hAnsi="Arial" w:cs="Arial"/>
          <w:sz w:val="24"/>
        </w:rPr>
      </w:pPr>
    </w:p>
    <w:p w:rsidR="001848EC" w:rsidRDefault="001848EC" w:rsidP="001848EC">
      <w:pPr>
        <w:rPr>
          <w:rFonts w:ascii="Arial" w:hAnsi="Arial" w:cs="Arial"/>
          <w:sz w:val="24"/>
        </w:rPr>
      </w:pPr>
    </w:p>
    <w:p w:rsidR="001848EC" w:rsidRDefault="001848EC" w:rsidP="001848EC">
      <w:pPr>
        <w:rPr>
          <w:rFonts w:ascii="Arial" w:hAnsi="Arial" w:cs="Arial"/>
          <w:sz w:val="24"/>
        </w:rPr>
      </w:pPr>
    </w:p>
    <w:p w:rsidR="001848EC" w:rsidRDefault="001848EC" w:rsidP="001848EC">
      <w:pPr>
        <w:rPr>
          <w:rFonts w:ascii="Arial" w:hAnsi="Arial" w:cs="Arial"/>
          <w:sz w:val="24"/>
        </w:rPr>
      </w:pPr>
    </w:p>
    <w:p w:rsidR="001848EC" w:rsidRDefault="001848EC" w:rsidP="001848EC">
      <w:pPr>
        <w:rPr>
          <w:rFonts w:ascii="Arial" w:hAnsi="Arial" w:cs="Arial"/>
          <w:sz w:val="24"/>
        </w:rPr>
      </w:pPr>
    </w:p>
    <w:p w:rsidR="001848EC" w:rsidRDefault="001848EC" w:rsidP="001848EC">
      <w:pPr>
        <w:rPr>
          <w:rFonts w:ascii="Arial" w:hAnsi="Arial" w:cs="Arial"/>
          <w:sz w:val="24"/>
        </w:rPr>
      </w:pPr>
    </w:p>
    <w:p w:rsidR="001848EC" w:rsidRDefault="001848EC" w:rsidP="001848EC">
      <w:pPr>
        <w:rPr>
          <w:rFonts w:ascii="Arial" w:hAnsi="Arial" w:cs="Arial"/>
          <w:sz w:val="24"/>
        </w:rPr>
      </w:pPr>
    </w:p>
    <w:p w:rsidR="001848EC" w:rsidRDefault="001848EC" w:rsidP="001848EC">
      <w:pPr>
        <w:rPr>
          <w:rFonts w:ascii="Arial" w:hAnsi="Arial" w:cs="Arial"/>
          <w:sz w:val="24"/>
        </w:rPr>
      </w:pPr>
    </w:p>
    <w:p w:rsidR="001848EC" w:rsidRDefault="001848EC" w:rsidP="001848EC">
      <w:pPr>
        <w:rPr>
          <w:rFonts w:ascii="Arial" w:hAnsi="Arial" w:cs="Arial"/>
          <w:sz w:val="24"/>
        </w:rPr>
      </w:pPr>
    </w:p>
    <w:p w:rsidR="001848EC" w:rsidRPr="008017BE" w:rsidRDefault="001848EC" w:rsidP="001848E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1848EC" w:rsidRPr="008017BE" w:rsidRDefault="001848EC" w:rsidP="001848EC">
      <w:pPr>
        <w:jc w:val="center"/>
        <w:rPr>
          <w:rFonts w:ascii="Arial" w:hAnsi="Arial" w:cs="Arial"/>
          <w:sz w:val="24"/>
        </w:rPr>
      </w:pPr>
    </w:p>
    <w:p w:rsidR="001848EC" w:rsidRPr="008017BE" w:rsidRDefault="001848EC" w:rsidP="001848EC">
      <w:pPr>
        <w:jc w:val="center"/>
        <w:rPr>
          <w:rFonts w:ascii="Arial" w:hAnsi="Arial" w:cs="Arial"/>
          <w:sz w:val="24"/>
        </w:rPr>
      </w:pPr>
    </w:p>
    <w:p w:rsidR="001848EC" w:rsidRPr="008017BE" w:rsidRDefault="001848EC" w:rsidP="001848EC">
      <w:pPr>
        <w:jc w:val="center"/>
        <w:rPr>
          <w:rFonts w:ascii="Arial" w:hAnsi="Arial" w:cs="Arial"/>
          <w:sz w:val="24"/>
        </w:rPr>
      </w:pPr>
    </w:p>
    <w:p w:rsidR="001848EC" w:rsidRPr="008017BE" w:rsidRDefault="001848EC" w:rsidP="001848EC">
      <w:pPr>
        <w:jc w:val="center"/>
        <w:rPr>
          <w:rFonts w:ascii="Arial" w:hAnsi="Arial" w:cs="Arial"/>
          <w:sz w:val="24"/>
        </w:rPr>
      </w:pPr>
    </w:p>
    <w:p w:rsidR="001848EC" w:rsidRDefault="001848EC" w:rsidP="001848E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R$ 46.000,00 (quarenta e seis mil reais), visa suprir gastos com Sentenças Judiciais do Bloco Média e Alta Complexidade. A Abertura do crédito se fez necessário, visto que o entendimento técnico da Secretaria da Saúde, entende que certas sentenças judiciais não devem ser contabilizadas juntamente com as despesas com medicamentos lançadas na Assistência Farmacêutica. </w:t>
      </w:r>
    </w:p>
    <w:p w:rsidR="001848EC" w:rsidRDefault="001848EC" w:rsidP="001848EC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pela anulação parcial de dotação que não será mais utilizada até o final do exercício.</w:t>
      </w:r>
    </w:p>
    <w:p w:rsidR="001848EC" w:rsidRDefault="001848EC" w:rsidP="001848E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.</w:t>
      </w:r>
    </w:p>
    <w:p w:rsidR="001848EC" w:rsidRDefault="001848EC" w:rsidP="001848EC">
      <w:pPr>
        <w:jc w:val="both"/>
        <w:rPr>
          <w:rFonts w:ascii="Arial" w:hAnsi="Arial" w:cs="Arial"/>
          <w:sz w:val="24"/>
        </w:rPr>
      </w:pPr>
    </w:p>
    <w:p w:rsidR="001848EC" w:rsidRPr="008017BE" w:rsidRDefault="001848EC" w:rsidP="001848EC">
      <w:pPr>
        <w:jc w:val="both"/>
        <w:rPr>
          <w:rFonts w:ascii="Arial" w:hAnsi="Arial" w:cs="Arial"/>
          <w:sz w:val="24"/>
        </w:rPr>
      </w:pPr>
    </w:p>
    <w:p w:rsidR="001848EC" w:rsidRPr="008017BE" w:rsidRDefault="001848EC" w:rsidP="001848EC">
      <w:pPr>
        <w:jc w:val="both"/>
        <w:rPr>
          <w:rFonts w:ascii="Arial" w:hAnsi="Arial" w:cs="Arial"/>
          <w:sz w:val="24"/>
          <w:u w:val="single"/>
        </w:rPr>
      </w:pPr>
    </w:p>
    <w:p w:rsidR="001848EC" w:rsidRDefault="001848EC" w:rsidP="001848EC">
      <w:pPr>
        <w:jc w:val="center"/>
        <w:rPr>
          <w:rFonts w:ascii="Arial" w:hAnsi="Arial" w:cs="Arial"/>
          <w:sz w:val="24"/>
        </w:rPr>
      </w:pPr>
    </w:p>
    <w:p w:rsidR="001848EC" w:rsidRDefault="001848EC" w:rsidP="001848EC">
      <w:pPr>
        <w:jc w:val="center"/>
        <w:rPr>
          <w:rFonts w:ascii="Arial" w:hAnsi="Arial" w:cs="Arial"/>
          <w:sz w:val="24"/>
        </w:rPr>
      </w:pPr>
    </w:p>
    <w:p w:rsidR="001848EC" w:rsidRPr="008017BE" w:rsidRDefault="001848EC" w:rsidP="001848E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15 de setembro de 2022</w:t>
      </w:r>
    </w:p>
    <w:p w:rsidR="001848EC" w:rsidRPr="008017BE" w:rsidRDefault="001848EC" w:rsidP="001848EC">
      <w:pPr>
        <w:rPr>
          <w:rFonts w:ascii="Arial" w:hAnsi="Arial" w:cs="Arial"/>
          <w:sz w:val="24"/>
        </w:rPr>
      </w:pPr>
    </w:p>
    <w:p w:rsidR="001848EC" w:rsidRPr="008017BE" w:rsidRDefault="001848EC" w:rsidP="001848EC">
      <w:pPr>
        <w:rPr>
          <w:rFonts w:ascii="Arial" w:hAnsi="Arial" w:cs="Arial"/>
          <w:sz w:val="24"/>
        </w:rPr>
      </w:pPr>
    </w:p>
    <w:p w:rsidR="001848EC" w:rsidRPr="008017BE" w:rsidRDefault="001848EC" w:rsidP="001848EC">
      <w:pPr>
        <w:rPr>
          <w:rFonts w:ascii="Arial" w:hAnsi="Arial" w:cs="Arial"/>
          <w:sz w:val="24"/>
        </w:rPr>
      </w:pPr>
    </w:p>
    <w:p w:rsidR="001848EC" w:rsidRPr="008017BE" w:rsidRDefault="001848EC" w:rsidP="001848E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1848EC" w:rsidRDefault="001848EC" w:rsidP="001848E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1848EC" w:rsidRDefault="001848EC" w:rsidP="001848EC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4B2" w:rsidRDefault="00AE34B2">
      <w:r>
        <w:separator/>
      </w:r>
    </w:p>
  </w:endnote>
  <w:endnote w:type="continuationSeparator" w:id="0">
    <w:p w:rsidR="00AE34B2" w:rsidRDefault="00AE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4B2" w:rsidRDefault="00AE34B2">
      <w:r>
        <w:separator/>
      </w:r>
    </w:p>
  </w:footnote>
  <w:footnote w:type="continuationSeparator" w:id="0">
    <w:p w:rsidR="00AE34B2" w:rsidRDefault="00AE3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AE34B2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9333B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24823350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3DC1"/>
    <w:rsid w:val="001845FE"/>
    <w:rsid w:val="001848EC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00B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33B4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34B2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17D3C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1C05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DE1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8FF027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005EC-D07C-4E2F-B633-A0FCE6111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2065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5</cp:revision>
  <cp:lastPrinted>2022-09-16T11:49:00Z</cp:lastPrinted>
  <dcterms:created xsi:type="dcterms:W3CDTF">2022-09-16T11:33:00Z</dcterms:created>
  <dcterms:modified xsi:type="dcterms:W3CDTF">2022-09-16T11:49:00Z</dcterms:modified>
</cp:coreProperties>
</file>