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223" w:rsidRDefault="007E4223" w:rsidP="007E4223">
      <w:pPr>
        <w:jc w:val="center"/>
        <w:rPr>
          <w:rFonts w:ascii="Bookman Old Style" w:hAnsi="Bookman Old Style" w:cs="Arial"/>
          <w:sz w:val="20"/>
        </w:rPr>
      </w:pPr>
    </w:p>
    <w:p w:rsidR="0063793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  <w:bookmarkStart w:id="0" w:name="_GoBack"/>
      <w:bookmarkEnd w:id="0"/>
      <w:r w:rsidRPr="005C65FA">
        <w:rPr>
          <w:rFonts w:ascii="Bookman Old Style" w:hAnsi="Bookman Old Style" w:cs="Arial"/>
          <w:sz w:val="20"/>
        </w:rPr>
        <w:t>Projeto de Lei nº</w:t>
      </w:r>
      <w:r>
        <w:rPr>
          <w:rFonts w:ascii="Bookman Old Style" w:hAnsi="Bookman Old Style" w:cs="Arial"/>
          <w:sz w:val="20"/>
        </w:rPr>
        <w:t xml:space="preserve"> 37 de 30 de </w:t>
      </w:r>
      <w:proofErr w:type="gramStart"/>
      <w:r>
        <w:rPr>
          <w:rFonts w:ascii="Bookman Old Style" w:hAnsi="Bookman Old Style" w:cs="Arial"/>
          <w:sz w:val="20"/>
        </w:rPr>
        <w:t>Agosto</w:t>
      </w:r>
      <w:proofErr w:type="gramEnd"/>
      <w:r>
        <w:rPr>
          <w:rFonts w:ascii="Bookman Old Style" w:hAnsi="Bookman Old Style" w:cs="Arial"/>
          <w:sz w:val="20"/>
        </w:rPr>
        <w:t xml:space="preserve"> </w:t>
      </w:r>
      <w:r w:rsidRPr="005C65FA">
        <w:rPr>
          <w:rFonts w:ascii="Bookman Old Style" w:hAnsi="Bookman Old Style" w:cs="Arial"/>
          <w:sz w:val="20"/>
        </w:rPr>
        <w:t>2023</w:t>
      </w: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ab/>
      </w:r>
      <w:r w:rsidRPr="005C65FA">
        <w:rPr>
          <w:rFonts w:ascii="Bookman Old Style" w:hAnsi="Bookman Old Style" w:cs="Arial"/>
          <w:sz w:val="20"/>
        </w:rPr>
        <w:tab/>
      </w:r>
      <w:r w:rsidRPr="005C65FA">
        <w:rPr>
          <w:rFonts w:ascii="Bookman Old Style" w:hAnsi="Bookman Old Style" w:cs="Arial"/>
          <w:sz w:val="20"/>
        </w:rPr>
        <w:tab/>
        <w:t>Dispõe sobre a abertura de Crédito Adicional Especial</w:t>
      </w:r>
    </w:p>
    <w:p w:rsidR="0063793A" w:rsidRPr="005C65FA" w:rsidRDefault="0063793A" w:rsidP="0063793A">
      <w:pPr>
        <w:jc w:val="both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both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both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ab/>
      </w:r>
      <w:r w:rsidRPr="005C65FA">
        <w:rPr>
          <w:rFonts w:ascii="Bookman Old Style" w:hAnsi="Bookman Old Style" w:cs="Arial"/>
          <w:sz w:val="20"/>
        </w:rPr>
        <w:tab/>
      </w:r>
      <w:r w:rsidRPr="005C65FA">
        <w:rPr>
          <w:rFonts w:ascii="Bookman Old Style" w:hAnsi="Bookman Old Style" w:cs="Arial"/>
          <w:sz w:val="20"/>
        </w:rPr>
        <w:tab/>
        <w:t>Odécio Rodrigues da Silva, Prefeito Municipal de Lourdes, Comarca de Buritama, Estado de São Paulo.</w:t>
      </w:r>
    </w:p>
    <w:p w:rsidR="0063793A" w:rsidRPr="005C65FA" w:rsidRDefault="0063793A" w:rsidP="0063793A">
      <w:pPr>
        <w:jc w:val="both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ab/>
      </w:r>
      <w:r w:rsidRPr="005C65FA">
        <w:rPr>
          <w:rFonts w:ascii="Bookman Old Style" w:hAnsi="Bookman Old Style" w:cs="Arial"/>
          <w:sz w:val="20"/>
        </w:rPr>
        <w:tab/>
      </w:r>
    </w:p>
    <w:p w:rsidR="0063793A" w:rsidRPr="005C65FA" w:rsidRDefault="0063793A" w:rsidP="0063793A">
      <w:pPr>
        <w:jc w:val="both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both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ab/>
        <w:t xml:space="preserve">                      Faz saber que a Câmara Municipal de Lourdes aprovou e ele sanciona e promulga a seguinte lei:</w:t>
      </w:r>
    </w:p>
    <w:p w:rsidR="0063793A" w:rsidRPr="005C65FA" w:rsidRDefault="0063793A" w:rsidP="0063793A">
      <w:pPr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ab/>
      </w:r>
    </w:p>
    <w:p w:rsidR="0063793A" w:rsidRPr="005C65FA" w:rsidRDefault="0063793A" w:rsidP="0063793A">
      <w:pPr>
        <w:tabs>
          <w:tab w:val="left" w:pos="0"/>
        </w:tabs>
        <w:spacing w:line="276" w:lineRule="auto"/>
        <w:jc w:val="both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ab/>
      </w:r>
      <w:r w:rsidRPr="005C65FA">
        <w:rPr>
          <w:rFonts w:ascii="Bookman Old Style" w:hAnsi="Bookman Old Style" w:cs="Arial"/>
          <w:sz w:val="20"/>
        </w:rPr>
        <w:tab/>
      </w:r>
    </w:p>
    <w:p w:rsidR="0063793A" w:rsidRPr="005C65FA" w:rsidRDefault="0063793A" w:rsidP="0063793A">
      <w:pPr>
        <w:tabs>
          <w:tab w:val="left" w:pos="0"/>
        </w:tabs>
        <w:spacing w:line="276" w:lineRule="auto"/>
        <w:jc w:val="both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ab/>
      </w:r>
      <w:r w:rsidRPr="005C65FA">
        <w:rPr>
          <w:rFonts w:ascii="Bookman Old Style" w:hAnsi="Bookman Old Style" w:cs="Arial"/>
          <w:sz w:val="20"/>
        </w:rPr>
        <w:tab/>
      </w:r>
      <w:r w:rsidRPr="005C65FA">
        <w:rPr>
          <w:rFonts w:ascii="Bookman Old Style" w:hAnsi="Bookman Old Style" w:cs="Arial"/>
          <w:sz w:val="20"/>
        </w:rPr>
        <w:tab/>
        <w:t xml:space="preserve">Art. 1º - Fica aberto na contadoria municipal, um crédito adicional especial na importância de até R$ 18.000,00 (dezoito mil reais), visando  atendimento à Lei nº 1800 de 03 de maio de 2022 que autoriza o Executivo a realizar Campanha de Arrecadação, denominando </w:t>
      </w:r>
      <w:r w:rsidRPr="005C65FA">
        <w:rPr>
          <w:rFonts w:ascii="Bookman Old Style" w:hAnsi="Bookman Old Style" w:cs="Arial"/>
          <w:b/>
          <w:sz w:val="20"/>
        </w:rPr>
        <w:t>“IPTU PREMIADO”,</w:t>
      </w:r>
      <w:r w:rsidRPr="005C65FA">
        <w:rPr>
          <w:rFonts w:ascii="Bookman Old Style" w:hAnsi="Bookman Old Style" w:cs="Arial"/>
          <w:sz w:val="20"/>
        </w:rPr>
        <w:t xml:space="preserve"> como meio de auxiliar a fiscalização, melhorar a arrecadação e atualizar o cadastro fiscal de tributos municipais mediante a distribuição gratuita de prêmios, através de sorteio entre os contribuintes que comprovarem o pagamento integral de seus tributos. </w:t>
      </w:r>
    </w:p>
    <w:p w:rsidR="0063793A" w:rsidRPr="005C65FA" w:rsidRDefault="0063793A" w:rsidP="0063793A">
      <w:pPr>
        <w:jc w:val="both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ind w:firstLine="708"/>
        <w:jc w:val="both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 xml:space="preserve">                      Art. 2º - O crédito aberto pelo artigo anterior será coberto pela anulação parcial da seguinte dotação do orçamento vigente:</w:t>
      </w:r>
    </w:p>
    <w:p w:rsidR="0063793A" w:rsidRPr="005C65FA" w:rsidRDefault="0063793A" w:rsidP="0063793A">
      <w:pPr>
        <w:ind w:firstLine="708"/>
        <w:jc w:val="both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ind w:firstLine="708"/>
        <w:jc w:val="both"/>
        <w:rPr>
          <w:rFonts w:ascii="Bookman Old Style" w:hAnsi="Bookman Old Style" w:cs="Arial"/>
          <w:b/>
          <w:sz w:val="20"/>
        </w:rPr>
      </w:pPr>
      <w:r w:rsidRPr="005C65FA">
        <w:rPr>
          <w:rFonts w:ascii="Bookman Old Style" w:hAnsi="Bookman Old Style" w:cs="Arial"/>
          <w:b/>
          <w:sz w:val="20"/>
        </w:rPr>
        <w:t>0202 – DEPART. MUN. DE ADMINISTRAÇÃO, FINANÇAS E TRIBUTOS</w:t>
      </w:r>
    </w:p>
    <w:p w:rsidR="0063793A" w:rsidRPr="005C65FA" w:rsidRDefault="0063793A" w:rsidP="0063793A">
      <w:pPr>
        <w:ind w:firstLine="708"/>
        <w:jc w:val="both"/>
        <w:rPr>
          <w:rFonts w:ascii="Bookman Old Style" w:hAnsi="Bookman Old Style" w:cs="Arial"/>
          <w:b/>
          <w:sz w:val="20"/>
        </w:rPr>
      </w:pPr>
      <w:r w:rsidRPr="005C65FA">
        <w:rPr>
          <w:rFonts w:ascii="Bookman Old Style" w:hAnsi="Bookman Old Style" w:cs="Arial"/>
          <w:b/>
          <w:sz w:val="20"/>
        </w:rPr>
        <w:t>020202 – GESTÃO FINANCEIRA E TRIBUTÁRIA</w:t>
      </w:r>
    </w:p>
    <w:p w:rsidR="0063793A" w:rsidRPr="005C65FA" w:rsidRDefault="0063793A" w:rsidP="0063793A">
      <w:pPr>
        <w:ind w:firstLine="708"/>
        <w:jc w:val="both"/>
        <w:rPr>
          <w:rFonts w:ascii="Bookman Old Style" w:hAnsi="Bookman Old Style" w:cs="Arial"/>
          <w:b/>
          <w:sz w:val="20"/>
        </w:rPr>
      </w:pPr>
      <w:r w:rsidRPr="005C65FA">
        <w:rPr>
          <w:rFonts w:ascii="Bookman Old Style" w:hAnsi="Bookman Old Style" w:cs="Arial"/>
          <w:b/>
          <w:sz w:val="20"/>
        </w:rPr>
        <w:t>04.123.0005.2010.0000 – Atividades do Setor de Finanças e Tributos</w:t>
      </w:r>
    </w:p>
    <w:p w:rsidR="0063793A" w:rsidRPr="005C65FA" w:rsidRDefault="0063793A" w:rsidP="0063793A">
      <w:pPr>
        <w:ind w:firstLine="708"/>
        <w:jc w:val="both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 xml:space="preserve">040 – 339093.00 – Indenizações e Restituições....................................R$ 18.000,00 </w:t>
      </w:r>
    </w:p>
    <w:p w:rsidR="0063793A" w:rsidRPr="005C65FA" w:rsidRDefault="0063793A" w:rsidP="0063793A">
      <w:pPr>
        <w:rPr>
          <w:rFonts w:ascii="Bookman Old Style" w:hAnsi="Bookman Old Style" w:cs="Arial"/>
          <w:b/>
          <w:sz w:val="20"/>
        </w:rPr>
      </w:pPr>
    </w:p>
    <w:p w:rsidR="0063793A" w:rsidRPr="005C65FA" w:rsidRDefault="0063793A" w:rsidP="0063793A">
      <w:pPr>
        <w:jc w:val="both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ab/>
      </w:r>
    </w:p>
    <w:p w:rsidR="0063793A" w:rsidRPr="005C65FA" w:rsidRDefault="0063793A" w:rsidP="0063793A">
      <w:pPr>
        <w:jc w:val="both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ab/>
      </w:r>
      <w:r w:rsidRPr="005C65FA">
        <w:rPr>
          <w:rFonts w:ascii="Bookman Old Style" w:hAnsi="Bookman Old Style" w:cs="Arial"/>
          <w:sz w:val="20"/>
        </w:rPr>
        <w:tab/>
        <w:t>Art. 3º - Esta lei entrará em vigor na data de sua publicação, revogadas as disposições em contrário.</w:t>
      </w:r>
    </w:p>
    <w:p w:rsidR="0063793A" w:rsidRPr="005C65FA" w:rsidRDefault="0063793A" w:rsidP="0063793A">
      <w:pPr>
        <w:jc w:val="both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both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 xml:space="preserve">                Lourdes-SP, 3</w:t>
      </w:r>
      <w:r>
        <w:rPr>
          <w:rFonts w:ascii="Bookman Old Style" w:hAnsi="Bookman Old Style" w:cs="Arial"/>
          <w:sz w:val="20"/>
        </w:rPr>
        <w:t>0</w:t>
      </w:r>
      <w:r w:rsidRPr="005C65FA">
        <w:rPr>
          <w:rFonts w:ascii="Bookman Old Style" w:hAnsi="Bookman Old Style" w:cs="Arial"/>
          <w:sz w:val="20"/>
        </w:rPr>
        <w:t xml:space="preserve"> de agosto de 2023</w:t>
      </w: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/>
          <w:noProof/>
          <w:sz w:val="20"/>
        </w:rPr>
        <w:drawing>
          <wp:inline distT="0" distB="0" distL="0" distR="0">
            <wp:extent cx="1076325" cy="5429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>Odécio Rodrigues da Silva</w:t>
      </w: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>Prefeito Municipal</w:t>
      </w:r>
    </w:p>
    <w:p w:rsidR="0063793A" w:rsidRPr="005C65FA" w:rsidRDefault="0063793A" w:rsidP="0063793A">
      <w:pPr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>JUSTIFICATIVA</w:t>
      </w: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both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ab/>
      </w:r>
      <w:r w:rsidRPr="005C65FA">
        <w:rPr>
          <w:rFonts w:ascii="Bookman Old Style" w:hAnsi="Bookman Old Style" w:cs="Arial"/>
          <w:sz w:val="20"/>
        </w:rPr>
        <w:tab/>
      </w:r>
      <w:r w:rsidRPr="005C65FA">
        <w:rPr>
          <w:rFonts w:ascii="Bookman Old Style" w:hAnsi="Bookman Old Style" w:cs="Arial"/>
          <w:sz w:val="20"/>
        </w:rPr>
        <w:tab/>
        <w:t xml:space="preserve">Pedro Luiz Serafim Pinto, Contador da Prefeitura Municipal de Lourdes, Estado de São Paulo, J U S T I F I C A, para os devidos fins, que o projeto de Lei que abre Crédito Adicional Especial no valor de até R$ 18.000,00 (dezoito mil reais), visa o atendimento a Lei 1800 de 03 de maio de 2022 que autoriza o Executivo a realizar Campanha de Arrecadação, denominando “IPTU PREMIADO”, mediante a distribuição gratuita de prêmios. </w:t>
      </w:r>
    </w:p>
    <w:p w:rsidR="0063793A" w:rsidRPr="005C65FA" w:rsidRDefault="0063793A" w:rsidP="0063793A">
      <w:pPr>
        <w:ind w:firstLine="708"/>
        <w:jc w:val="both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>O crédito aberto será coberto pela anulação parcial de dotação do orçamento vigente.</w:t>
      </w:r>
    </w:p>
    <w:p w:rsidR="0063793A" w:rsidRPr="005C65FA" w:rsidRDefault="0063793A" w:rsidP="0063793A">
      <w:pPr>
        <w:jc w:val="both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 xml:space="preserve"> </w:t>
      </w:r>
    </w:p>
    <w:p w:rsidR="0063793A" w:rsidRPr="005C65FA" w:rsidRDefault="0063793A" w:rsidP="0063793A">
      <w:pPr>
        <w:jc w:val="both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both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>Lourdes-SP, 31 de agosto de 2023</w:t>
      </w:r>
    </w:p>
    <w:p w:rsidR="0063793A" w:rsidRPr="005C65FA" w:rsidRDefault="0063793A" w:rsidP="0063793A">
      <w:pPr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rPr>
          <w:rFonts w:ascii="Bookman Old Style" w:hAnsi="Bookman Old Style" w:cs="Arial"/>
          <w:sz w:val="20"/>
        </w:rPr>
      </w:pP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>Pedro Luiz Serafim Pinto</w:t>
      </w:r>
    </w:p>
    <w:p w:rsidR="0063793A" w:rsidRPr="005C65FA" w:rsidRDefault="0063793A" w:rsidP="0063793A">
      <w:pPr>
        <w:jc w:val="center"/>
        <w:rPr>
          <w:rFonts w:ascii="Bookman Old Style" w:hAnsi="Bookman Old Style" w:cs="Arial"/>
          <w:sz w:val="20"/>
        </w:rPr>
      </w:pPr>
      <w:r w:rsidRPr="005C65FA">
        <w:rPr>
          <w:rFonts w:ascii="Bookman Old Style" w:hAnsi="Bookman Old Style" w:cs="Arial"/>
          <w:sz w:val="20"/>
        </w:rPr>
        <w:t>Contador – CRC1SP160756/O-2</w:t>
      </w:r>
    </w:p>
    <w:p w:rsidR="007E4223" w:rsidRDefault="007E4223" w:rsidP="007E4223">
      <w:pPr>
        <w:jc w:val="center"/>
        <w:rPr>
          <w:rFonts w:ascii="Bookman Old Style" w:hAnsi="Bookman Old Style" w:cs="Arial"/>
          <w:sz w:val="20"/>
        </w:rPr>
      </w:pPr>
    </w:p>
    <w:p w:rsidR="007E4223" w:rsidRDefault="007E4223" w:rsidP="007E4223">
      <w:pPr>
        <w:jc w:val="center"/>
        <w:rPr>
          <w:rFonts w:ascii="Bookman Old Style" w:hAnsi="Bookman Old Style" w:cs="Arial"/>
          <w:sz w:val="20"/>
        </w:rPr>
      </w:pPr>
    </w:p>
    <w:sectPr w:rsidR="007E4223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AAA" w:rsidRDefault="00177AAA">
      <w:r>
        <w:separator/>
      </w:r>
    </w:p>
  </w:endnote>
  <w:endnote w:type="continuationSeparator" w:id="0">
    <w:p w:rsidR="00177AAA" w:rsidRDefault="0017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AAA" w:rsidRDefault="00177AAA">
      <w:r>
        <w:separator/>
      </w:r>
    </w:p>
  </w:footnote>
  <w:footnote w:type="continuationSeparator" w:id="0">
    <w:p w:rsidR="00177AAA" w:rsidRDefault="00177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177AAA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D90857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55062832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77AAA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3793A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4223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67935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0857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6067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823AD8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3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E6C2D-10A9-415B-B4B7-581E12A3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2134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4</cp:revision>
  <cp:lastPrinted>2020-09-17T14:11:00Z</cp:lastPrinted>
  <dcterms:created xsi:type="dcterms:W3CDTF">2023-09-01T11:32:00Z</dcterms:created>
  <dcterms:modified xsi:type="dcterms:W3CDTF">2023-09-01T11:41:00Z</dcterms:modified>
</cp:coreProperties>
</file>