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A6" w:rsidRPr="004228A6" w:rsidRDefault="004228A6" w:rsidP="004228A6">
      <w:pPr>
        <w:pStyle w:val="Ttulo1"/>
        <w:spacing w:before="0" w:line="288" w:lineRule="auto"/>
        <w:jc w:val="center"/>
        <w:textAlignment w:val="baseline"/>
        <w:rPr>
          <w:rFonts w:ascii="Bookman Old Style" w:hAnsi="Bookman Old Style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Ttulo1"/>
        <w:spacing w:before="0" w:line="288" w:lineRule="auto"/>
        <w:jc w:val="center"/>
        <w:textAlignment w:val="baseline"/>
        <w:rPr>
          <w:rFonts w:ascii="Bookman Old Style" w:hAnsi="Bookman Old Style"/>
          <w:b w:val="0"/>
          <w:bCs w:val="0"/>
          <w:color w:val="000000" w:themeColor="text1"/>
          <w:sz w:val="22"/>
          <w:szCs w:val="22"/>
        </w:rPr>
      </w:pPr>
      <w:r w:rsidRPr="004228A6">
        <w:rPr>
          <w:rFonts w:ascii="Bookman Old Style" w:hAnsi="Bookman Old Style"/>
          <w:color w:val="000000" w:themeColor="text1"/>
          <w:sz w:val="22"/>
          <w:szCs w:val="22"/>
        </w:rPr>
        <w:t>PROJETO DE LEI Nº</w:t>
      </w:r>
      <w:r w:rsidRPr="004228A6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proofErr w:type="gramStart"/>
      <w:r w:rsidRPr="004228A6">
        <w:rPr>
          <w:rFonts w:ascii="Bookman Old Style" w:hAnsi="Bookman Old Style"/>
          <w:color w:val="000000" w:themeColor="text1"/>
          <w:sz w:val="22"/>
          <w:szCs w:val="22"/>
        </w:rPr>
        <w:t>49</w:t>
      </w:r>
      <w:r w:rsidRPr="004228A6">
        <w:rPr>
          <w:rFonts w:ascii="Bookman Old Style" w:hAnsi="Bookman Old Style"/>
          <w:color w:val="000000" w:themeColor="text1"/>
          <w:sz w:val="22"/>
          <w:szCs w:val="22"/>
        </w:rPr>
        <w:t xml:space="preserve">  DE</w:t>
      </w:r>
      <w:proofErr w:type="gramEnd"/>
      <w:r w:rsidRPr="004228A6">
        <w:rPr>
          <w:rFonts w:ascii="Bookman Old Style" w:hAnsi="Bookman Old Style"/>
          <w:color w:val="000000" w:themeColor="text1"/>
          <w:sz w:val="22"/>
          <w:szCs w:val="22"/>
        </w:rPr>
        <w:t xml:space="preserve"> 01 DE NOVEMBRO DE 2.023.</w:t>
      </w: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 xml:space="preserve">DISPÕE SOBRE A REGULARIZAÇÃO DAS NOMENCLATURAS DE RUAS DESTA CIDADE, QUE JÁ ESTÃO IDENTIFICADAS PELOS NOMES PROPOSTOS E DÁ OUTRAS PROVIDÊNCIAS. 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 xml:space="preserve">CONSIDERANDO </w:t>
      </w: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 xml:space="preserve">que compete ao Município, segundo o normatizado no Código de Trânsito Nacional e outros instrumentos, a regulamentação de vias urbanas e rurais, bem como demais estradas que integram a malha viária municipal; 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 xml:space="preserve">CONSIDERANDO </w:t>
      </w: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que entre as prerrogativas constam as normas pertinentes ao trânsito e interdição de vias;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 xml:space="preserve">CONSIDERANDO </w:t>
      </w: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que a identificação das vias e estradas se constitui de ação exclusiva do Município que detém a jurisdição do trânsito local nos termos presentes no Código de Trânsito;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tabs>
          <w:tab w:val="left" w:pos="0"/>
        </w:tabs>
        <w:spacing w:line="288" w:lineRule="auto"/>
        <w:jc w:val="both"/>
        <w:rPr>
          <w:rFonts w:ascii="Bookman Old Style" w:hAnsi="Bookman Old Style" w:cs="Courier New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ourier New"/>
          <w:b/>
          <w:color w:val="000000" w:themeColor="text1"/>
          <w:sz w:val="22"/>
          <w:szCs w:val="22"/>
        </w:rPr>
        <w:t>Odécio Rodrigues da silva</w:t>
      </w:r>
      <w:r w:rsidRPr="004228A6">
        <w:rPr>
          <w:rFonts w:ascii="Bookman Old Style" w:hAnsi="Bookman Old Style" w:cs="Courier New"/>
          <w:color w:val="000000" w:themeColor="text1"/>
          <w:sz w:val="22"/>
          <w:szCs w:val="22"/>
        </w:rPr>
        <w:t>, Prefeito do Município de Lourdes, Comarca de Buritama, Estado de São Paulo.</w:t>
      </w:r>
    </w:p>
    <w:p w:rsidR="004228A6" w:rsidRPr="004228A6" w:rsidRDefault="004228A6" w:rsidP="004228A6">
      <w:pPr>
        <w:tabs>
          <w:tab w:val="left" w:pos="0"/>
        </w:tabs>
        <w:spacing w:line="288" w:lineRule="auto"/>
        <w:jc w:val="both"/>
        <w:rPr>
          <w:rFonts w:ascii="Bookman Old Style" w:hAnsi="Bookman Old Style" w:cs="Courier New"/>
          <w:b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 w:cs="Courier New"/>
          <w:b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ourier New"/>
          <w:color w:val="000000" w:themeColor="text1"/>
          <w:sz w:val="22"/>
          <w:szCs w:val="22"/>
        </w:rPr>
        <w:t>Faz saber que a Câmara Municipal de Lourdes aprova e ele sanciona e promulga a seguinte lei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Art. 1º – As ruas abaixo relacionadas que integra a malha viária municipal continuarão com a mesma denominação para todos os fins e efeitos.</w:t>
      </w:r>
    </w:p>
    <w:p w:rsidR="004228A6" w:rsidRPr="004228A6" w:rsidRDefault="004228A6" w:rsidP="004228A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Rua José Luiz de Oliveira</w:t>
      </w:r>
    </w:p>
    <w:p w:rsidR="004228A6" w:rsidRPr="004228A6" w:rsidRDefault="004228A6" w:rsidP="004228A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Rua José Marques Nogueira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  <w:highlight w:val="yellow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Art. 2º – A administração do Município providenciará todas as formalidades necessárias junto aos órgãos de registro competentes e, em sendo necessário, efetuara a identificação local para o conhecimento de toda a população e usuários.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Art. 3º – As despesas com a execução da presente Lei correrão por conta de verba orçamentária própria.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Art. 4º Esta Lei entra em vigor na data de sua publicação.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>Lourdes, 01 de novembro de 2.023</w:t>
      </w: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C8B791" wp14:editId="3936EACD">
            <wp:simplePos x="0" y="0"/>
            <wp:positionH relativeFrom="column">
              <wp:posOffset>2828925</wp:posOffset>
            </wp:positionH>
            <wp:positionV relativeFrom="paragraph">
              <wp:posOffset>27940</wp:posOffset>
            </wp:positionV>
            <wp:extent cx="1239453" cy="621015"/>
            <wp:effectExtent l="0" t="0" r="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>Odécio Rodrigues da Silva</w:t>
      </w: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>Prefeito</w:t>
      </w:r>
    </w:p>
    <w:p w:rsidR="004228A6" w:rsidRPr="004228A6" w:rsidRDefault="004228A6" w:rsidP="004228A6">
      <w:pPr>
        <w:spacing w:line="288" w:lineRule="auto"/>
        <w:jc w:val="both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bookmarkStart w:id="0" w:name="_GoBack"/>
      <w:bookmarkEnd w:id="0"/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>JUSTIFICATIVA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  <w:proofErr w:type="gramStart"/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>Senhor Presidente</w:t>
      </w:r>
      <w:proofErr w:type="gramEnd"/>
      <w:r>
        <w:rPr>
          <w:rFonts w:ascii="Bookman Old Style" w:hAnsi="Bookman Old Style" w:cs="Segoe UI"/>
          <w:b/>
          <w:color w:val="000000" w:themeColor="text1"/>
          <w:sz w:val="22"/>
          <w:szCs w:val="22"/>
        </w:rPr>
        <w:t xml:space="preserve"> </w:t>
      </w:r>
      <w:r w:rsidRPr="004228A6">
        <w:rPr>
          <w:rFonts w:ascii="Bookman Old Style" w:hAnsi="Bookman Old Style" w:cs="Segoe UI"/>
          <w:b/>
          <w:color w:val="000000" w:themeColor="text1"/>
          <w:sz w:val="22"/>
          <w:szCs w:val="22"/>
        </w:rPr>
        <w:t>Senhores Edis,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rFonts w:ascii="Bookman Old Style" w:hAnsi="Bookman Old Style" w:cs="Segoe UI"/>
          <w:b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4228A6">
        <w:rPr>
          <w:rFonts w:ascii="Bookman Old Style" w:hAnsi="Bookman Old Style"/>
          <w:sz w:val="22"/>
          <w:szCs w:val="22"/>
        </w:rPr>
        <w:t>O Projeto de Lei que ora colocamos a vossa apreciação objetiva a regularização de ruas de nossa cidade.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 xml:space="preserve">As referidas ruas foram denominadas pelo Governo de </w:t>
      </w:r>
      <w:proofErr w:type="spellStart"/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Turiuba</w:t>
      </w:r>
      <w:proofErr w:type="spellEnd"/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, à época sede deste município, onde buscamos documentos comprobatórios e não encontramos.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>Munícipes vem procurando este governo para regularização de imóveis e temos a necessidade de comprovação da denominação destes logradouros.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/>
          <w:sz w:val="22"/>
          <w:szCs w:val="22"/>
        </w:rPr>
        <w:t>Sendo o que se apresenta, aproveitamos para reiterar protestos da mais elevada estima e consideração.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 xml:space="preserve"> 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Segoe UI"/>
          <w:color w:val="000000" w:themeColor="text1"/>
          <w:sz w:val="22"/>
          <w:szCs w:val="22"/>
        </w:rPr>
        <w:t xml:space="preserve"> </w:t>
      </w: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rFonts w:ascii="Bookman Old Style" w:hAnsi="Bookman Old Style" w:cs="Segoe U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rFonts w:ascii="Bookman Old Style" w:hAnsi="Bookman Old Style" w:cs="Segoe UI"/>
          <w:strike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rFonts w:ascii="Bookman Old Style" w:hAnsi="Bookman Old Style" w:cs="Segoe UI"/>
          <w:strike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>Lourdes, 01 de novembro de 2.023</w:t>
      </w: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DA8C00" wp14:editId="7D398116">
            <wp:simplePos x="0" y="0"/>
            <wp:positionH relativeFrom="column">
              <wp:posOffset>2828925</wp:posOffset>
            </wp:positionH>
            <wp:positionV relativeFrom="paragraph">
              <wp:posOffset>27940</wp:posOffset>
            </wp:positionV>
            <wp:extent cx="1239453" cy="62101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>Odécio Rodrigues da Silva</w:t>
      </w:r>
    </w:p>
    <w:p w:rsidR="004228A6" w:rsidRPr="004228A6" w:rsidRDefault="004228A6" w:rsidP="004228A6">
      <w:pPr>
        <w:spacing w:line="288" w:lineRule="auto"/>
        <w:jc w:val="center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4228A6">
        <w:rPr>
          <w:rFonts w:ascii="Bookman Old Style" w:hAnsi="Bookman Old Style" w:cs="Calibri"/>
          <w:color w:val="000000" w:themeColor="text1"/>
          <w:sz w:val="22"/>
          <w:szCs w:val="22"/>
        </w:rPr>
        <w:t xml:space="preserve">Prefeito </w:t>
      </w:r>
      <w:r w:rsidRPr="004228A6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</w:p>
    <w:p w:rsidR="006546C2" w:rsidRPr="004228A6" w:rsidRDefault="006546C2" w:rsidP="006546C2">
      <w:pPr>
        <w:jc w:val="center"/>
        <w:rPr>
          <w:rFonts w:ascii="Arial" w:hAnsi="Arial" w:cs="Arial"/>
          <w:sz w:val="22"/>
          <w:szCs w:val="22"/>
        </w:rPr>
      </w:pPr>
    </w:p>
    <w:p w:rsidR="004228A6" w:rsidRPr="004228A6" w:rsidRDefault="004228A6">
      <w:pPr>
        <w:jc w:val="center"/>
        <w:rPr>
          <w:rFonts w:ascii="Arial" w:hAnsi="Arial" w:cs="Arial"/>
          <w:sz w:val="24"/>
          <w:szCs w:val="24"/>
        </w:rPr>
      </w:pPr>
    </w:p>
    <w:sectPr w:rsidR="004228A6" w:rsidRPr="004228A6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C2" w:rsidRDefault="004443C2">
      <w:r>
        <w:separator/>
      </w:r>
    </w:p>
  </w:endnote>
  <w:endnote w:type="continuationSeparator" w:id="0">
    <w:p w:rsidR="004443C2" w:rsidRDefault="004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C2" w:rsidRDefault="004443C2">
      <w:r>
        <w:separator/>
      </w:r>
    </w:p>
  </w:footnote>
  <w:footnote w:type="continuationSeparator" w:id="0">
    <w:p w:rsidR="004443C2" w:rsidRDefault="0044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443C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4443C2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60785597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7505"/>
    <w:multiLevelType w:val="hybridMultilevel"/>
    <w:tmpl w:val="D974DB5C"/>
    <w:lvl w:ilvl="0" w:tplc="E06ACB9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20D5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8A6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43C2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05EE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6A7B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uiPriority w:val="99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E194-F000-44A2-AE98-682F4A5F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2201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2023-11-06T17:20:00Z</dcterms:created>
  <dcterms:modified xsi:type="dcterms:W3CDTF">2023-11-06T17:20:00Z</dcterms:modified>
</cp:coreProperties>
</file>